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87CA3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14:paraId="172C23D3">
      <w:pPr>
        <w:tabs>
          <w:tab w:val="left" w:pos="2655"/>
        </w:tabs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1B001A58">
      <w:pPr>
        <w:tabs>
          <w:tab w:val="left" w:pos="2655"/>
        </w:tabs>
        <w:spacing w:line="640" w:lineRule="exact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蔬菜中敌百虫、丙溴磷、灭多威、克百威、</w:t>
      </w:r>
    </w:p>
    <w:p w14:paraId="1C74BB86">
      <w:pPr>
        <w:tabs>
          <w:tab w:val="left" w:pos="2655"/>
        </w:tabs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敌敌畏残留的快速检测</w:t>
      </w:r>
      <w:r>
        <w:rPr>
          <w:rFonts w:eastAsia="方正小标宋简体"/>
          <w:sz w:val="44"/>
          <w:szCs w:val="44"/>
        </w:rPr>
        <w:t>（</w:t>
      </w:r>
      <w:bookmarkStart w:id="2" w:name="_GoBack"/>
      <w:r>
        <w:rPr>
          <w:rFonts w:eastAsia="方正小标宋简体"/>
          <w:sz w:val="44"/>
          <w:szCs w:val="44"/>
        </w:rPr>
        <w:t>KJ201710</w:t>
      </w:r>
      <w:bookmarkEnd w:id="2"/>
      <w:r>
        <w:rPr>
          <w:rFonts w:eastAsia="方正小标宋简体"/>
          <w:sz w:val="44"/>
          <w:szCs w:val="44"/>
        </w:rPr>
        <w:t>）</w:t>
      </w:r>
    </w:p>
    <w:p w14:paraId="4A741CBF">
      <w:pPr>
        <w:tabs>
          <w:tab w:val="left" w:pos="2655"/>
        </w:tabs>
        <w:jc w:val="center"/>
        <w:rPr>
          <w:rFonts w:eastAsia="仿宋_GB2312"/>
          <w:sz w:val="44"/>
          <w:szCs w:val="44"/>
        </w:rPr>
      </w:pPr>
    </w:p>
    <w:p w14:paraId="6C573B87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ascii="Times New Roman"/>
        </w:rPr>
      </w:pPr>
      <w:r>
        <w:rPr>
          <w:rFonts w:ascii="Times New Roman"/>
        </w:rPr>
        <w:t>范围</w:t>
      </w:r>
    </w:p>
    <w:p w14:paraId="301587F5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本方法规定了蔬菜中敌百虫、丙溴磷、灭多威、克百威、敌敌畏残留的快速检测方法。</w:t>
      </w:r>
    </w:p>
    <w:p w14:paraId="4483497D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本方法适用于油菜、菠菜、芹菜、韭菜等蔬菜中敌百虫、丙溴磷、灭多威、克百威、敌敌畏残留的快速测定。</w:t>
      </w:r>
    </w:p>
    <w:p w14:paraId="4E3114DE">
      <w:pPr>
        <w:tabs>
          <w:tab w:val="left" w:pos="2655"/>
        </w:tabs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酶抑制（率）法（分光光度法）</w:t>
      </w:r>
    </w:p>
    <w:p w14:paraId="25AF3A00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ascii="Times New Roman"/>
        </w:rPr>
      </w:pPr>
      <w:r>
        <w:rPr>
          <w:rFonts w:ascii="Times New Roman"/>
        </w:rPr>
        <w:t>原理</w:t>
      </w:r>
    </w:p>
    <w:p w14:paraId="7982E575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在一定条件下，有机磷和氨基甲酸酯类农药对胆碱酯酶正常功能有抑制作用，其抑制率与农药的浓度呈正相关。正常情况下，酶催化神经传导代谢产物（乙酰胆碱）水解，其水解产物与显色剂反应，产生黄色物质，用分光光度计在412nm处测定吸光度随时间的变化值，计算出抑制率。</w:t>
      </w:r>
    </w:p>
    <w:p w14:paraId="5AC6D13C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ascii="Times New Roman"/>
        </w:rPr>
      </w:pPr>
      <w:r>
        <w:rPr>
          <w:rFonts w:ascii="Times New Roman"/>
        </w:rPr>
        <w:t>试剂和材料</w:t>
      </w:r>
    </w:p>
    <w:p w14:paraId="35A5225C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除另有规定外，本方法所用试剂均为分析纯，水为GB/T 6682规定的二级水。</w:t>
      </w:r>
    </w:p>
    <w:p w14:paraId="12043837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试剂</w:t>
      </w:r>
    </w:p>
    <w:p w14:paraId="762BDE82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丙酮（CH</w:t>
      </w:r>
      <w:r>
        <w:rPr>
          <w:rFonts w:ascii="Times New Roman" w:eastAsia="宋体"/>
          <w:szCs w:val="20"/>
          <w:vertAlign w:val="subscript"/>
        </w:rPr>
        <w:t>3</w:t>
      </w:r>
      <w:r>
        <w:rPr>
          <w:rFonts w:ascii="Times New Roman" w:eastAsia="宋体"/>
          <w:szCs w:val="20"/>
        </w:rPr>
        <w:t>COCH</w:t>
      </w:r>
      <w:r>
        <w:rPr>
          <w:rFonts w:ascii="Times New Roman" w:eastAsia="宋体"/>
          <w:szCs w:val="20"/>
          <w:vertAlign w:val="subscript"/>
        </w:rPr>
        <w:t>3</w:t>
      </w:r>
      <w:r>
        <w:rPr>
          <w:rFonts w:ascii="Times New Roman" w:eastAsia="宋体"/>
          <w:szCs w:val="20"/>
        </w:rPr>
        <w:t>）。</w:t>
      </w:r>
    </w:p>
    <w:p w14:paraId="793C0ED9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磷酸氢二钾（K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HPO</w:t>
      </w:r>
      <w:r>
        <w:rPr>
          <w:rFonts w:ascii="Times New Roman" w:eastAsia="宋体"/>
          <w:szCs w:val="20"/>
          <w:vertAlign w:val="subscript"/>
        </w:rPr>
        <w:t>4</w:t>
      </w:r>
      <w:r>
        <w:rPr>
          <w:rFonts w:ascii="Times New Roman" w:eastAsia="宋体"/>
          <w:szCs w:val="20"/>
        </w:rPr>
        <w:t>）。</w:t>
      </w:r>
    </w:p>
    <w:p w14:paraId="432A37FE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磷酸二氢钾（KH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PO</w:t>
      </w:r>
      <w:r>
        <w:rPr>
          <w:rFonts w:ascii="Times New Roman" w:eastAsia="宋体"/>
          <w:szCs w:val="20"/>
          <w:vertAlign w:val="subscript"/>
        </w:rPr>
        <w:t>4</w:t>
      </w:r>
      <w:r>
        <w:rPr>
          <w:rFonts w:ascii="Times New Roman" w:eastAsia="宋体"/>
          <w:szCs w:val="20"/>
        </w:rPr>
        <w:t>）。</w:t>
      </w:r>
    </w:p>
    <w:p w14:paraId="42C01548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5,5-二硫代双（2-硝基苯甲酸）（C</w:t>
      </w:r>
      <w:r>
        <w:rPr>
          <w:rFonts w:ascii="Times New Roman" w:eastAsia="宋体"/>
          <w:szCs w:val="20"/>
          <w:vertAlign w:val="subscript"/>
        </w:rPr>
        <w:t>14</w:t>
      </w:r>
      <w:r>
        <w:rPr>
          <w:rFonts w:ascii="Times New Roman" w:eastAsia="宋体"/>
          <w:szCs w:val="20"/>
        </w:rPr>
        <w:t>H</w:t>
      </w:r>
      <w:r>
        <w:rPr>
          <w:rFonts w:ascii="Times New Roman" w:eastAsia="宋体"/>
          <w:szCs w:val="20"/>
          <w:vertAlign w:val="subscript"/>
        </w:rPr>
        <w:t>8</w:t>
      </w:r>
      <w:r>
        <w:rPr>
          <w:rFonts w:ascii="Times New Roman" w:eastAsia="宋体"/>
          <w:szCs w:val="20"/>
        </w:rPr>
        <w:t>N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O</w:t>
      </w:r>
      <w:r>
        <w:rPr>
          <w:rFonts w:ascii="Times New Roman" w:eastAsia="宋体"/>
          <w:szCs w:val="20"/>
          <w:vertAlign w:val="subscript"/>
        </w:rPr>
        <w:t>8</w:t>
      </w:r>
      <w:r>
        <w:rPr>
          <w:rFonts w:ascii="Times New Roman" w:eastAsia="宋体"/>
          <w:szCs w:val="20"/>
        </w:rPr>
        <w:t>S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）。</w:t>
      </w:r>
    </w:p>
    <w:p w14:paraId="629B212A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碳酸氢钠（NaHCO</w:t>
      </w:r>
      <w:r>
        <w:rPr>
          <w:rFonts w:ascii="Times New Roman" w:eastAsia="宋体"/>
          <w:szCs w:val="20"/>
          <w:vertAlign w:val="subscript"/>
        </w:rPr>
        <w:t>3</w:t>
      </w:r>
      <w:r>
        <w:rPr>
          <w:rFonts w:ascii="Times New Roman" w:eastAsia="宋体"/>
          <w:szCs w:val="20"/>
        </w:rPr>
        <w:t>）。</w:t>
      </w:r>
    </w:p>
    <w:p w14:paraId="2879B75B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碘化乙酰硫代胆碱（ C</w:t>
      </w:r>
      <w:r>
        <w:rPr>
          <w:rFonts w:ascii="Times New Roman" w:eastAsia="宋体"/>
          <w:szCs w:val="20"/>
          <w:vertAlign w:val="subscript"/>
        </w:rPr>
        <w:t>7</w:t>
      </w:r>
      <w:r>
        <w:rPr>
          <w:rFonts w:ascii="Times New Roman" w:eastAsia="宋体"/>
          <w:szCs w:val="20"/>
        </w:rPr>
        <w:t>H</w:t>
      </w:r>
      <w:r>
        <w:rPr>
          <w:rFonts w:ascii="Times New Roman" w:eastAsia="宋体"/>
          <w:szCs w:val="20"/>
          <w:vertAlign w:val="subscript"/>
        </w:rPr>
        <w:t>16</w:t>
      </w:r>
      <w:r>
        <w:rPr>
          <w:rFonts w:ascii="Times New Roman" w:eastAsia="宋体"/>
          <w:szCs w:val="20"/>
        </w:rPr>
        <w:t>INOS）。</w:t>
      </w:r>
    </w:p>
    <w:p w14:paraId="20FD1B6E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pH8.0缓冲溶液：分别称取11.9 g无水磷酸氢二钾及3.2 g磷酸二氢钾，溶解于1000 mL水中，混匀。</w:t>
      </w:r>
    </w:p>
    <w:p w14:paraId="1D64E275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 xml:space="preserve">显色剂：分别取160 mg 5,5-二硫代双（2-硝基苯甲酸）（DTNB）和15.6 mg碳酸氢钠，用20 mL缓冲溶液溶解，4 </w:t>
      </w:r>
      <w:r>
        <w:rPr>
          <w:rFonts w:hint="eastAsia" w:ascii="宋体" w:hAnsi="宋体" w:eastAsia="宋体" w:cs="宋体"/>
          <w:szCs w:val="20"/>
        </w:rPr>
        <w:t>℃</w:t>
      </w:r>
      <w:r>
        <w:rPr>
          <w:rFonts w:ascii="Times New Roman" w:eastAsia="宋体"/>
          <w:szCs w:val="20"/>
        </w:rPr>
        <w:t>冰箱中保存。</w:t>
      </w:r>
    </w:p>
    <w:p w14:paraId="5A9F10EB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 xml:space="preserve">底物：取125 mg碘化乙酰硫代胆碱，加15 mL蒸馏水溶解，摇匀后置于4 </w:t>
      </w:r>
      <w:r>
        <w:rPr>
          <w:rFonts w:hint="eastAsia" w:ascii="宋体" w:hAnsi="宋体" w:eastAsia="宋体" w:cs="宋体"/>
          <w:szCs w:val="20"/>
        </w:rPr>
        <w:t>℃</w:t>
      </w:r>
      <w:r>
        <w:rPr>
          <w:rFonts w:ascii="Times New Roman" w:eastAsia="宋体"/>
          <w:szCs w:val="20"/>
        </w:rPr>
        <w:t>冰箱中保存备用。保存期不超过两周。</w:t>
      </w:r>
    </w:p>
    <w:p w14:paraId="3D01B00A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 xml:space="preserve">乙酰胆碱酯酶：4 </w:t>
      </w:r>
      <w:r>
        <w:rPr>
          <w:rFonts w:hint="eastAsia" w:ascii="宋体" w:hAnsi="宋体" w:eastAsia="宋体" w:cs="宋体"/>
          <w:szCs w:val="20"/>
        </w:rPr>
        <w:t>℃</w:t>
      </w:r>
      <w:r>
        <w:rPr>
          <w:rFonts w:ascii="Times New Roman" w:eastAsia="宋体"/>
          <w:szCs w:val="20"/>
        </w:rPr>
        <w:t>冰箱中保存备用。</w:t>
      </w:r>
    </w:p>
    <w:p w14:paraId="0C990071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参考物质</w:t>
      </w:r>
    </w:p>
    <w:p w14:paraId="0ACA4D94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  <w:r>
        <w:rPr>
          <w:szCs w:val="20"/>
        </w:rPr>
        <w:t>3种有机磷和2种氨基甲酸酯类农药参考物质的中文名称、英文名称、CAS登录号、分子式、相对分子质量见表1，纯度均</w:t>
      </w:r>
      <w:r>
        <w:rPr>
          <w:rFonts w:ascii="宋体" w:hAnsi="宋体"/>
          <w:szCs w:val="20"/>
        </w:rPr>
        <w:t>≥</w:t>
      </w:r>
      <w:r>
        <w:rPr>
          <w:szCs w:val="20"/>
        </w:rPr>
        <w:t>98%。</w:t>
      </w:r>
    </w:p>
    <w:p w14:paraId="338A38DA">
      <w:pPr>
        <w:pStyle w:val="17"/>
        <w:widowControl w:val="0"/>
        <w:tabs>
          <w:tab w:val="clear" w:pos="1440"/>
        </w:tabs>
        <w:wordWrap/>
        <w:spacing w:beforeLines="50" w:afterLines="0"/>
        <w:ind w:firstLine="0"/>
        <w:jc w:val="center"/>
        <w:rPr>
          <w:rFonts w:hAnsi="黑体"/>
        </w:rPr>
      </w:pPr>
      <w:r>
        <w:rPr>
          <w:rFonts w:hAnsi="黑体"/>
        </w:rPr>
        <w:t>表1 有机磷和氨基甲酸酯类参考物质中文名称、英文名称、</w:t>
      </w:r>
    </w:p>
    <w:p w14:paraId="46E11F2A">
      <w:pPr>
        <w:pStyle w:val="17"/>
        <w:widowControl w:val="0"/>
        <w:tabs>
          <w:tab w:val="clear" w:pos="1440"/>
        </w:tabs>
        <w:wordWrap/>
        <w:spacing w:beforeLines="50" w:afterLines="0"/>
        <w:ind w:firstLine="0"/>
        <w:jc w:val="center"/>
        <w:rPr>
          <w:rFonts w:hAnsi="黑体"/>
        </w:rPr>
      </w:pPr>
      <w:r>
        <w:rPr>
          <w:rFonts w:hAnsi="黑体"/>
        </w:rPr>
        <w:t>CAS登录号、分子式、相对分子质量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705"/>
        <w:gridCol w:w="1546"/>
        <w:gridCol w:w="1860"/>
        <w:gridCol w:w="1665"/>
        <w:gridCol w:w="1491"/>
      </w:tblGrid>
      <w:tr w14:paraId="6B96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3BDAE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序号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97FFC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中文名称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97F8F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英文名称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2EAAA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CAS登录号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20964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分子式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2DAAC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相对分子质量</w:t>
            </w:r>
          </w:p>
        </w:tc>
      </w:tr>
      <w:tr w14:paraId="5532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07AE8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55E6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克百威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55B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Carbofuran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6A7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1563-66-2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1B8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12</w:t>
            </w: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15</w:t>
            </w:r>
            <w:r>
              <w:rPr>
                <w:color w:val="000000"/>
              </w:rPr>
              <w:t>NO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FB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221.25</w:t>
            </w:r>
          </w:p>
        </w:tc>
      </w:tr>
      <w:tr w14:paraId="0D7EF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69BE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11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灭多威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D5D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Methomyl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AF524">
            <w:pPr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59669-26-0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FF8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5</w:t>
            </w: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10</w:t>
            </w:r>
            <w:r>
              <w:rPr>
                <w:color w:val="000000"/>
              </w:rPr>
              <w:t>N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4E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162.23</w:t>
            </w:r>
          </w:p>
        </w:tc>
      </w:tr>
      <w:tr w14:paraId="08CBD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3B3F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55DBB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丙溴磷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DC21">
            <w:pPr>
              <w:pStyle w:val="5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kern w:val="2"/>
                <w:sz w:val="21"/>
              </w:rPr>
              <w:t>profenofos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DB944">
            <w:pPr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 41198-08-7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1D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11</w:t>
            </w: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15</w:t>
            </w:r>
            <w:r>
              <w:rPr>
                <w:color w:val="000000"/>
              </w:rPr>
              <w:t>BrClO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PS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01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373.63</w:t>
            </w:r>
          </w:p>
        </w:tc>
      </w:tr>
      <w:tr w14:paraId="30738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1C5F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71F2F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敌敌畏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060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Dichlorvos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4890">
            <w:pPr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62-73-7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0AC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C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7</w:t>
            </w:r>
            <w:r>
              <w:rPr>
                <w:color w:val="000000"/>
              </w:rPr>
              <w:t>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 xml:space="preserve">P 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E98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220.98</w:t>
            </w:r>
          </w:p>
        </w:tc>
      </w:tr>
      <w:tr w14:paraId="0C9B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A3EF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2760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敌百虫</w:t>
            </w:r>
          </w:p>
        </w:tc>
        <w:tc>
          <w:tcPr>
            <w:tcW w:w="15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B698">
            <w:pPr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>Dipterex</w:t>
            </w:r>
          </w:p>
        </w:tc>
        <w:tc>
          <w:tcPr>
            <w:tcW w:w="1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0820">
            <w:pPr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52-68-6 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5B3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8</w:t>
            </w:r>
            <w:r>
              <w:rPr>
                <w:color w:val="000000"/>
              </w:rPr>
              <w:t>Cl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P</w:t>
            </w: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31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257.44</w:t>
            </w:r>
          </w:p>
        </w:tc>
      </w:tr>
    </w:tbl>
    <w:p w14:paraId="683327BC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标准溶液的配制</w:t>
      </w:r>
    </w:p>
    <w:p w14:paraId="3CB74B2F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克百威、灭多威、敌敌畏、敌百虫标准储备液（1000 μg/mL）：冷藏、避光、干燥条件下保存。</w:t>
      </w:r>
    </w:p>
    <w:p w14:paraId="6E4C2864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丙溴磷标准储备液（100 μg/mL）：冷藏、避光、干燥条件下保存。</w:t>
      </w:r>
    </w:p>
    <w:p w14:paraId="288E4132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克百威、灭多威、敌敌畏、敌百虫标准中间液A（100 μg/mL）：精密移取上述标准储备液（1000 μg/mL）（3.3.1）各1mL，分别置于10mL容量瓶中，用丙酮（3.1.1）稀释至刻度，摇匀，制成浓度为100</w:t>
      </w:r>
      <w:r>
        <w:rPr>
          <w:rFonts w:ascii="Times New Roman" w:eastAsia="MS Mincho"/>
          <w:szCs w:val="20"/>
        </w:rPr>
        <w:t> </w:t>
      </w:r>
      <w:r>
        <w:rPr>
          <w:rFonts w:ascii="Times New Roman" w:eastAsia="宋体"/>
          <w:szCs w:val="20"/>
        </w:rPr>
        <w:t>μg/mL的标准液A。</w:t>
      </w:r>
    </w:p>
    <w:p w14:paraId="00465BE3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0" w:firstLine="0"/>
        <w:jc w:val="both"/>
        <w:outlineLvl w:val="9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克百威、灭多威、敌敌畏、敌百虫、丙溴磷标准中间液B（1 μg/mL）：精密移取标准中间液A（100 μg/mL）（3.3.3）及丙溴磷标准储备液（100 μg/mL）（3.3.2）各1 mL，分别置于100 mL容量瓶中，用缓冲溶液（3.1.7）稀释至刻度，摇匀，制成浓度为1</w:t>
      </w:r>
      <w:r>
        <w:rPr>
          <w:rFonts w:ascii="Times New Roman" w:eastAsia="MS Mincho"/>
          <w:szCs w:val="20"/>
        </w:rPr>
        <w:t> </w:t>
      </w:r>
      <w:r>
        <w:rPr>
          <w:rFonts w:ascii="Times New Roman" w:eastAsia="宋体"/>
          <w:szCs w:val="20"/>
        </w:rPr>
        <w:t>μg/mL的标准中间液B。</w:t>
      </w:r>
    </w:p>
    <w:p w14:paraId="32AD8A77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仪器和设备</w:t>
      </w:r>
    </w:p>
    <w:p w14:paraId="121D792D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恒温水浴锅。</w:t>
      </w:r>
    </w:p>
    <w:p w14:paraId="62D760A7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天平：感量为0.1 g。</w:t>
      </w:r>
    </w:p>
    <w:p w14:paraId="709226C0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分光光度计或相应商品化测定仪。</w:t>
      </w:r>
    </w:p>
    <w:p w14:paraId="193D0663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 xml:space="preserve">环境条件：温度15 </w:t>
      </w:r>
      <w:r>
        <w:rPr>
          <w:rFonts w:hint="eastAsia" w:ascii="Times New Roman"/>
        </w:rPr>
        <w:t>℃</w:t>
      </w:r>
      <w:r>
        <w:rPr>
          <w:rFonts w:ascii="Times New Roman"/>
        </w:rPr>
        <w:t xml:space="preserve">～35 </w:t>
      </w:r>
      <w:r>
        <w:rPr>
          <w:rFonts w:hint="eastAsia" w:ascii="Times New Roman"/>
        </w:rPr>
        <w:t>℃</w:t>
      </w:r>
      <w:r>
        <w:rPr>
          <w:rFonts w:ascii="Times New Roman"/>
        </w:rPr>
        <w:t>，湿度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80%。</w:t>
      </w:r>
    </w:p>
    <w:p w14:paraId="6C50035A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分析步骤</w:t>
      </w:r>
    </w:p>
    <w:p w14:paraId="28D657F5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试样的提取</w:t>
      </w:r>
    </w:p>
    <w:p w14:paraId="4D665C0F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整株提取法</w:t>
      </w:r>
    </w:p>
    <w:p w14:paraId="17E29421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选取韭菜、芹菜有代表性的样品，擦去表面泥土，称取试样3 g（精确至0.1 g）置于表面皿中，加入10 mL缓冲液（3.1.7），残缺面不得接触缓冲液，轻轻振摇50 次，静置2 min以上，取上清液备用。</w:t>
      </w:r>
    </w:p>
    <w:p w14:paraId="33CC4766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整体测定法</w:t>
      </w:r>
    </w:p>
    <w:p w14:paraId="136B6C61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选取油菜、菠菜有代表性的样品，擦去表面泥土，剪成1 cm左右见方碎片，称取3 g（精确至0.1 g）放入离心管中，加入10 mL缓冲溶液（3.1.7），振摇50 次，静置2 min以上，倒出提取液，静置3 min～5 min，待用。</w:t>
      </w:r>
    </w:p>
    <w:p w14:paraId="2B7B340F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测定步骤</w:t>
      </w:r>
    </w:p>
    <w:p w14:paraId="6010792A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对照液的测定</w:t>
      </w:r>
    </w:p>
    <w:p w14:paraId="5826049B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</w:pPr>
      <w:r>
        <w:rPr>
          <w:szCs w:val="20"/>
        </w:rPr>
        <w:t xml:space="preserve">先于反应管中加入3 mL缓冲溶液（3.1.7），再加入适量酶液、0.1 mL显色剂，摇匀后于37 </w:t>
      </w:r>
      <w:r>
        <w:rPr>
          <w:rFonts w:hint="eastAsia" w:ascii="宋体" w:hAnsi="宋体" w:cs="宋体"/>
          <w:szCs w:val="20"/>
        </w:rPr>
        <w:t>℃</w:t>
      </w:r>
      <w:r>
        <w:rPr>
          <w:szCs w:val="20"/>
        </w:rPr>
        <w:t>水浴锅中放置15 min。加入0.1 mL底物摇匀，立即测定吸光度，3min后再测定一次，记录反应3min的吸光度值的变化</w:t>
      </w:r>
      <w:r>
        <w:rPr>
          <w:rFonts w:eastAsia="MS Mincho"/>
          <w:szCs w:val="20"/>
        </w:rPr>
        <w:t>∆</w:t>
      </w:r>
      <w:r>
        <w:rPr>
          <w:szCs w:val="20"/>
        </w:rPr>
        <w:t>A</w:t>
      </w:r>
      <w:r>
        <w:rPr>
          <w:szCs w:val="20"/>
          <w:vertAlign w:val="subscript"/>
        </w:rPr>
        <w:t>0</w:t>
      </w:r>
      <w:r>
        <w:rPr>
          <w:szCs w:val="20"/>
        </w:rPr>
        <w:t>。</w:t>
      </w:r>
    </w:p>
    <w:p w14:paraId="55C1DF2E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样品液的测定</w:t>
      </w:r>
    </w:p>
    <w:p w14:paraId="3DA6A1B3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先于反应管中加入3 mL提取液，其他操作与对照液操作（5.2.1）相同，记录反应3 min的吸光度值的变化</w:t>
      </w: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t</w:t>
      </w:r>
      <w:r>
        <w:rPr>
          <w:rFonts w:ascii="Times New Roman"/>
        </w:rPr>
        <w:t>。</w:t>
      </w:r>
    </w:p>
    <w:p w14:paraId="44BEA077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质控试验</w:t>
      </w:r>
    </w:p>
    <w:p w14:paraId="2C9FC7E0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每次测定应同时进行空白试验和加标质控试验。</w:t>
      </w:r>
    </w:p>
    <w:p w14:paraId="5FD4A147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空白试验</w:t>
      </w:r>
    </w:p>
    <w:p w14:paraId="28056D6B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称取空白试样，按照5.1和5.2步骤与样品同法操作。</w:t>
      </w:r>
    </w:p>
    <w:p w14:paraId="3DA4C7A5">
      <w:pPr>
        <w:pStyle w:val="12"/>
        <w:widowControl w:val="0"/>
        <w:numPr>
          <w:ilvl w:val="2"/>
          <w:numId w:val="1"/>
        </w:numPr>
        <w:spacing w:beforeLines="0" w:afterLines="0"/>
        <w:ind w:left="0" w:firstLine="0"/>
        <w:jc w:val="both"/>
        <w:outlineLvl w:val="9"/>
        <w:rPr>
          <w:rFonts w:ascii="宋体" w:hAnsi="宋体" w:eastAsia="宋体"/>
          <w:szCs w:val="20"/>
        </w:rPr>
      </w:pPr>
      <w:r>
        <w:rPr>
          <w:rFonts w:ascii="宋体" w:hAnsi="宋体" w:eastAsia="宋体"/>
          <w:szCs w:val="20"/>
        </w:rPr>
        <w:t>加标质控试验</w:t>
      </w:r>
    </w:p>
    <w:p w14:paraId="0ACAC82C">
      <w:pPr>
        <w:pStyle w:val="15"/>
        <w:numPr>
          <w:ilvl w:val="3"/>
          <w:numId w:val="1"/>
        </w:numPr>
        <w:spacing w:line="360" w:lineRule="exact"/>
        <w:ind w:firstLineChars="0"/>
        <w:rPr>
          <w:szCs w:val="20"/>
        </w:rPr>
      </w:pPr>
      <w:r>
        <w:rPr>
          <w:szCs w:val="20"/>
        </w:rPr>
        <w:t>韭菜、芹菜加标实验</w:t>
      </w:r>
    </w:p>
    <w:p w14:paraId="55B7B387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取空白试样，擦去表面泥土，称取5份试样各3 g（精确至0.1 g）置于表面皿中，分别加入检出限水平的</w:t>
      </w:r>
      <w:r>
        <w:rPr>
          <w:spacing w:val="5"/>
        </w:rPr>
        <w:t>有机磷和氨基甲酸酯类</w:t>
      </w:r>
      <w:r>
        <w:rPr>
          <w:szCs w:val="20"/>
        </w:rPr>
        <w:t>标准中间液B</w:t>
      </w:r>
      <w:r>
        <w:rPr>
          <w:spacing w:val="5"/>
        </w:rPr>
        <w:t>（1</w:t>
      </w:r>
      <w:r>
        <w:rPr>
          <w:rFonts w:eastAsia="MS Mincho"/>
          <w:spacing w:val="5"/>
        </w:rPr>
        <w:t> </w:t>
      </w:r>
      <w:r>
        <w:rPr>
          <w:szCs w:val="20"/>
        </w:rPr>
        <w:t>μ</w:t>
      </w:r>
      <w:r>
        <w:rPr>
          <w:spacing w:val="5"/>
        </w:rPr>
        <w:t>g/mL）</w:t>
      </w:r>
      <w:r>
        <w:rPr>
          <w:szCs w:val="20"/>
        </w:rPr>
        <w:t>（3.3.4），加入10 mL缓冲液（3.1.7），残缺面不得接触缓冲液，轻轻振摇50 次，静置2 min以上，取上清液备用。</w:t>
      </w:r>
    </w:p>
    <w:p w14:paraId="3A38DD15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t>其余操作按照</w:t>
      </w:r>
      <w:r>
        <w:rPr>
          <w:szCs w:val="20"/>
        </w:rPr>
        <w:t>5.2步骤</w:t>
      </w:r>
      <w:r>
        <w:t>同法操作</w:t>
      </w:r>
      <w:r>
        <w:rPr>
          <w:szCs w:val="20"/>
        </w:rPr>
        <w:t>。</w:t>
      </w:r>
    </w:p>
    <w:p w14:paraId="68515BB8">
      <w:pPr>
        <w:pStyle w:val="15"/>
        <w:numPr>
          <w:ilvl w:val="3"/>
          <w:numId w:val="1"/>
        </w:numPr>
        <w:spacing w:line="360" w:lineRule="exact"/>
        <w:ind w:firstLineChars="0"/>
        <w:rPr>
          <w:szCs w:val="20"/>
        </w:rPr>
      </w:pPr>
      <w:r>
        <w:rPr>
          <w:szCs w:val="20"/>
        </w:rPr>
        <w:t>油菜、菠菜加标实验</w:t>
      </w:r>
    </w:p>
    <w:p w14:paraId="0B5A40DE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取空白试样，擦去表面泥土，剪成1 cm左右见方碎片，称取5 份试样各3 g（精确至0.1 g）放入小离心管中，分别加入检出限水平的有机磷和氨基甲酸酯类标准中间液 B</w:t>
      </w:r>
      <w:r>
        <w:rPr>
          <w:spacing w:val="5"/>
        </w:rPr>
        <w:t>（1</w:t>
      </w:r>
      <w:r>
        <w:rPr>
          <w:rFonts w:eastAsia="MS Mincho"/>
          <w:spacing w:val="5"/>
        </w:rPr>
        <w:t> </w:t>
      </w:r>
      <w:r>
        <w:rPr>
          <w:szCs w:val="20"/>
        </w:rPr>
        <w:t>μ</w:t>
      </w:r>
      <w:r>
        <w:rPr>
          <w:spacing w:val="5"/>
        </w:rPr>
        <w:t>g/mL）</w:t>
      </w:r>
      <w:r>
        <w:rPr>
          <w:szCs w:val="20"/>
        </w:rPr>
        <w:t>（3.3.4），加入10 mL缓冲溶液（3.1.7），振摇50 次，静置2 min以上，倒出提取液，静置3 min</w:t>
      </w:r>
      <w:r>
        <w:rPr>
          <w:sz w:val="18"/>
          <w:szCs w:val="18"/>
        </w:rPr>
        <w:t>～</w:t>
      </w:r>
      <w:r>
        <w:rPr>
          <w:szCs w:val="20"/>
        </w:rPr>
        <w:t>5 min，待用。</w:t>
      </w:r>
    </w:p>
    <w:p w14:paraId="5B7729F7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t>其余操作按照</w:t>
      </w:r>
      <w:r>
        <w:rPr>
          <w:szCs w:val="20"/>
        </w:rPr>
        <w:t>5.2步骤</w:t>
      </w:r>
      <w:r>
        <w:t>同法操作</w:t>
      </w:r>
      <w:r>
        <w:rPr>
          <w:szCs w:val="20"/>
        </w:rPr>
        <w:t>。</w:t>
      </w:r>
    </w:p>
    <w:p w14:paraId="44C35AA6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结果的表述</w:t>
      </w:r>
    </w:p>
    <w:p w14:paraId="5CED7534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结果计算</w:t>
      </w:r>
    </w:p>
    <w:p w14:paraId="78B3E4B9">
      <w:pPr>
        <w:pStyle w:val="11"/>
        <w:widowControl w:val="0"/>
        <w:spacing w:line="360" w:lineRule="exact"/>
        <w:ind w:firstLine="0" w:firstLineChars="0"/>
        <w:rPr>
          <w:rFonts w:ascii="Times New Roman"/>
        </w:rPr>
      </w:pPr>
      <w:r>
        <w:rPr>
          <w:rFonts w:ascii="Times New Roman"/>
        </w:rPr>
        <w:t>抑制率（%）=[（</w:t>
      </w: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0</w:t>
      </w:r>
      <w:r>
        <w:rPr>
          <w:rFonts w:ascii="Times New Roman"/>
        </w:rPr>
        <w:t>-</w:t>
      </w: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t</w:t>
      </w:r>
      <w:r>
        <w:rPr>
          <w:rFonts w:ascii="Times New Roman"/>
        </w:rPr>
        <w:t>）/</w:t>
      </w: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0</w:t>
      </w:r>
      <w:r>
        <w:rPr>
          <w:rFonts w:ascii="Times New Roman"/>
        </w:rPr>
        <w:t>]×100</w:t>
      </w:r>
    </w:p>
    <w:p w14:paraId="34C0767D">
      <w:pPr>
        <w:pStyle w:val="11"/>
        <w:widowControl w:val="0"/>
        <w:spacing w:line="360" w:lineRule="exact"/>
        <w:rPr>
          <w:rFonts w:ascii="Times New Roman"/>
        </w:rPr>
      </w:pPr>
      <w:r>
        <w:rPr>
          <w:rFonts w:ascii="Times New Roman"/>
        </w:rPr>
        <w:t>式中：</w:t>
      </w:r>
    </w:p>
    <w:p w14:paraId="5B4B177D">
      <w:pPr>
        <w:pStyle w:val="11"/>
        <w:widowControl w:val="0"/>
        <w:spacing w:line="360" w:lineRule="exact"/>
        <w:rPr>
          <w:rFonts w:ascii="Times New Roman"/>
        </w:rPr>
      </w:pP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0───</w:t>
      </w:r>
      <w:r>
        <w:rPr>
          <w:rFonts w:ascii="Times New Roman"/>
        </w:rPr>
        <w:t>对照溶液反应3 min吸光度的变化值；</w:t>
      </w:r>
    </w:p>
    <w:p w14:paraId="58D1D455">
      <w:pPr>
        <w:pStyle w:val="11"/>
        <w:widowControl w:val="0"/>
        <w:spacing w:line="360" w:lineRule="exact"/>
        <w:rPr>
          <w:rFonts w:ascii="Times New Roman"/>
        </w:rPr>
      </w:pPr>
      <w:r>
        <w:rPr>
          <w:rFonts w:ascii="Times New Roman" w:eastAsia="MS Mincho"/>
        </w:rPr>
        <w:t>∆</w:t>
      </w:r>
      <w:r>
        <w:rPr>
          <w:rFonts w:ascii="Times New Roman"/>
        </w:rPr>
        <w:t>A</w:t>
      </w:r>
      <w:r>
        <w:rPr>
          <w:rFonts w:ascii="Times New Roman"/>
          <w:vertAlign w:val="subscript"/>
        </w:rPr>
        <w:t>t───</w:t>
      </w:r>
      <w:r>
        <w:rPr>
          <w:rFonts w:ascii="Times New Roman"/>
        </w:rPr>
        <w:t>样品溶液反应3 min吸光度的变化值；</w:t>
      </w:r>
    </w:p>
    <w:p w14:paraId="6CF671D2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结果判定</w:t>
      </w:r>
    </w:p>
    <w:p w14:paraId="3607C28E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结果以酶被抑制的程度（抑制率）表示。</w:t>
      </w:r>
    </w:p>
    <w:p w14:paraId="0C5E65BA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当抑制率</w:t>
      </w:r>
      <w:r>
        <w:rPr>
          <w:rFonts w:hAnsi="宋体"/>
        </w:rPr>
        <w:t>≥</w:t>
      </w:r>
      <w:r>
        <w:rPr>
          <w:rFonts w:ascii="Times New Roman"/>
        </w:rPr>
        <w:t>50%时，表示蔬菜中有机磷和氨基甲酸酯类农药残留高于检测限，判定为阳性，阳性结果的样品需要重复检验2 次以上。</w:t>
      </w:r>
    </w:p>
    <w:p w14:paraId="0C6E6668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质控试验要求</w:t>
      </w:r>
    </w:p>
    <w:p w14:paraId="097BF527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空白试验测定结果应为阴性，加标质控试验测定结果应均为阳性。</w:t>
      </w:r>
    </w:p>
    <w:p w14:paraId="63C9616A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结论</w:t>
      </w:r>
    </w:p>
    <w:p w14:paraId="406C9BEA">
      <w:pPr>
        <w:pStyle w:val="11"/>
        <w:widowControl w:val="0"/>
        <w:rPr>
          <w:rFonts w:ascii="Times New Roman"/>
        </w:rPr>
      </w:pPr>
      <w:r>
        <w:rPr>
          <w:rFonts w:ascii="Times New Roman"/>
        </w:rPr>
        <w:t>当检测结果为阳性时，应采用其他分析方法进行确证，进一步确定农药品种和含量。</w:t>
      </w:r>
    </w:p>
    <w:p w14:paraId="43DF6111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性能指标</w:t>
      </w:r>
    </w:p>
    <w:p w14:paraId="2A92E13D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检测限：敌百虫0.1 mg/kg，丙溴磷0.5 mg/kg，灭多威0.2 mg/kg，克百威0.02 mg/kg，敌敌畏0.2 mg/kg。</w:t>
      </w:r>
    </w:p>
    <w:p w14:paraId="3A91D837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灵敏度：灵敏度应</w:t>
      </w:r>
      <w:r>
        <w:rPr>
          <w:rFonts w:ascii="宋体" w:hAnsi="宋体" w:eastAsia="宋体"/>
        </w:rPr>
        <w:t>≥</w:t>
      </w:r>
      <w:r>
        <w:rPr>
          <w:rFonts w:ascii="Times New Roman"/>
        </w:rPr>
        <w:t>95%</w:t>
      </w:r>
    </w:p>
    <w:p w14:paraId="41729A86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特异性：特异性应</w:t>
      </w:r>
      <w:r>
        <w:rPr>
          <w:rFonts w:ascii="宋体" w:hAnsi="宋体" w:eastAsia="宋体"/>
        </w:rPr>
        <w:t>≥</w:t>
      </w:r>
      <w:r>
        <w:rPr>
          <w:rFonts w:ascii="Times New Roman"/>
        </w:rPr>
        <w:t>85%。</w:t>
      </w:r>
    </w:p>
    <w:p w14:paraId="1B0D50D5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假阴性率：假阴性率应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5%。</w:t>
      </w:r>
    </w:p>
    <w:p w14:paraId="61A9DDAF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假阳性率：假阳性率应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15%。</w:t>
      </w:r>
    </w:p>
    <w:p w14:paraId="164F3165">
      <w:pPr>
        <w:tabs>
          <w:tab w:val="left" w:pos="2655"/>
        </w:tabs>
        <w:spacing w:line="360" w:lineRule="exact"/>
        <w:rPr>
          <w:sz w:val="18"/>
          <w:szCs w:val="18"/>
        </w:rPr>
      </w:pPr>
      <w:r>
        <w:rPr>
          <w:sz w:val="18"/>
          <w:szCs w:val="18"/>
        </w:rPr>
        <w:t>注：1.性能指标计算方法见附录A。</w:t>
      </w:r>
    </w:p>
    <w:p w14:paraId="08728DAC">
      <w:pPr>
        <w:pStyle w:val="11"/>
        <w:widowControl w:val="0"/>
        <w:spacing w:line="360" w:lineRule="exact"/>
        <w:ind w:firstLine="0" w:firstLineChars="0"/>
        <w:rPr>
          <w:rFonts w:ascii="Times New Roman"/>
          <w:sz w:val="18"/>
          <w:szCs w:val="18"/>
        </w:rPr>
      </w:pPr>
      <w:r>
        <w:rPr>
          <w:rFonts w:ascii="Times New Roman"/>
          <w:sz w:val="18"/>
          <w:szCs w:val="18"/>
        </w:rPr>
        <w:t xml:space="preserve">    2.吸光度变化</w:t>
      </w:r>
      <w:r>
        <w:rPr>
          <w:rFonts w:ascii="Times New Roman" w:eastAsia="MS Mincho"/>
          <w:sz w:val="18"/>
          <w:szCs w:val="18"/>
        </w:rPr>
        <w:t>∆</w:t>
      </w:r>
      <w:r>
        <w:rPr>
          <w:rFonts w:ascii="Times New Roman"/>
          <w:sz w:val="18"/>
          <w:szCs w:val="18"/>
        </w:rPr>
        <w:t>A</w:t>
      </w:r>
      <w:r>
        <w:rPr>
          <w:rFonts w:ascii="Times New Roman"/>
          <w:sz w:val="18"/>
          <w:szCs w:val="18"/>
          <w:vertAlign w:val="subscript"/>
        </w:rPr>
        <w:t>0</w:t>
      </w:r>
      <w:r>
        <w:rPr>
          <w:rFonts w:ascii="Times New Roman"/>
          <w:sz w:val="18"/>
          <w:szCs w:val="18"/>
        </w:rPr>
        <w:t>值应控制在0.2～0.3之间。具体的酶量，应根据产品说明书上标识的使用量，测定</w:t>
      </w:r>
      <w:r>
        <w:rPr>
          <w:rFonts w:ascii="Times New Roman" w:eastAsia="MS Mincho"/>
          <w:sz w:val="18"/>
          <w:szCs w:val="18"/>
        </w:rPr>
        <w:t>∆</w:t>
      </w:r>
      <w:r>
        <w:rPr>
          <w:rFonts w:ascii="Times New Roman"/>
          <w:sz w:val="18"/>
          <w:szCs w:val="18"/>
        </w:rPr>
        <w:t>A</w:t>
      </w:r>
      <w:r>
        <w:rPr>
          <w:rFonts w:ascii="Times New Roman"/>
          <w:sz w:val="18"/>
          <w:szCs w:val="18"/>
          <w:vertAlign w:val="subscript"/>
        </w:rPr>
        <w:t>0</w:t>
      </w:r>
      <w:r>
        <w:rPr>
          <w:rFonts w:ascii="Times New Roman"/>
          <w:sz w:val="18"/>
          <w:szCs w:val="18"/>
        </w:rPr>
        <w:t>值。根据测定值，增加或减少酶量，使</w:t>
      </w:r>
      <w:r>
        <w:rPr>
          <w:rFonts w:ascii="Times New Roman" w:eastAsia="MS Mincho"/>
          <w:sz w:val="18"/>
          <w:szCs w:val="18"/>
        </w:rPr>
        <w:t>∆</w:t>
      </w:r>
      <w:r>
        <w:rPr>
          <w:rFonts w:ascii="Times New Roman"/>
          <w:sz w:val="18"/>
          <w:szCs w:val="18"/>
        </w:rPr>
        <w:t>A</w:t>
      </w:r>
      <w:r>
        <w:rPr>
          <w:rFonts w:ascii="Times New Roman"/>
          <w:sz w:val="18"/>
          <w:szCs w:val="18"/>
          <w:vertAlign w:val="subscript"/>
        </w:rPr>
        <w:t>0</w:t>
      </w:r>
      <w:r>
        <w:rPr>
          <w:rFonts w:ascii="Times New Roman"/>
          <w:sz w:val="18"/>
          <w:szCs w:val="18"/>
        </w:rPr>
        <w:t>值控制在0.2～0.3之间。</w:t>
      </w:r>
    </w:p>
    <w:p w14:paraId="16BF7514">
      <w:pPr>
        <w:tabs>
          <w:tab w:val="left" w:pos="2655"/>
        </w:tabs>
        <w:spacing w:beforeLines="50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检测卡法</w:t>
      </w:r>
    </w:p>
    <w:p w14:paraId="0A23CB58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原理</w:t>
      </w:r>
    </w:p>
    <w:p w14:paraId="76F55776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bookmarkStart w:id="0" w:name="OLE_LINK2"/>
      <w:bookmarkStart w:id="1" w:name="OLE_LINK1"/>
      <w:r>
        <w:rPr>
          <w:szCs w:val="20"/>
        </w:rPr>
        <w:t>样品中的有机磷和氨基甲酸酯类农药残留经缓冲液提取，有机磷和氨基甲酸酯类农药对胆碱酯酶（白色药片）有抑制作用，抑制胆碱酯酶催化靛酚乙酸酯（红色药片）水解为乙酸与靛酚（蓝色），从而导致速测卡颜色深浅的变化。通过空白颜色比较，对样品中有机磷和氨基甲酸酯类农药进行定性判定。</w:t>
      </w:r>
    </w:p>
    <w:bookmarkEnd w:id="0"/>
    <w:bookmarkEnd w:id="1"/>
    <w:p w14:paraId="518C2D02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试剂和材料</w:t>
      </w:r>
    </w:p>
    <w:p w14:paraId="2AB306CE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除另有规定外，本方法所用试剂均为分析纯，水为GB/T 6682规定的二级水。</w:t>
      </w:r>
    </w:p>
    <w:p w14:paraId="49D6BD2C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试剂</w:t>
      </w:r>
    </w:p>
    <w:p w14:paraId="3DACE9E0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丙酮（CH</w:t>
      </w:r>
      <w:r>
        <w:rPr>
          <w:rFonts w:ascii="Times New Roman" w:eastAsia="宋体"/>
          <w:szCs w:val="20"/>
          <w:vertAlign w:val="subscript"/>
        </w:rPr>
        <w:t>3</w:t>
      </w:r>
      <w:r>
        <w:rPr>
          <w:rFonts w:ascii="Times New Roman" w:eastAsia="宋体"/>
          <w:szCs w:val="20"/>
        </w:rPr>
        <w:t>COCH</w:t>
      </w:r>
      <w:r>
        <w:rPr>
          <w:rFonts w:ascii="Times New Roman" w:eastAsia="宋体"/>
          <w:szCs w:val="20"/>
          <w:vertAlign w:val="subscript"/>
        </w:rPr>
        <w:t>3</w:t>
      </w:r>
      <w:r>
        <w:rPr>
          <w:rFonts w:ascii="Times New Roman" w:eastAsia="宋体"/>
          <w:szCs w:val="20"/>
        </w:rPr>
        <w:t>）。</w:t>
      </w:r>
    </w:p>
    <w:p w14:paraId="10CB6D9C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磷酸氢二钾（K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HPO</w:t>
      </w:r>
      <w:r>
        <w:rPr>
          <w:rFonts w:ascii="Times New Roman" w:eastAsia="宋体"/>
          <w:szCs w:val="20"/>
          <w:vertAlign w:val="subscript"/>
        </w:rPr>
        <w:t>4</w:t>
      </w:r>
      <w:r>
        <w:rPr>
          <w:rFonts w:ascii="Times New Roman" w:eastAsia="宋体"/>
          <w:szCs w:val="20"/>
        </w:rPr>
        <w:t>）。</w:t>
      </w:r>
    </w:p>
    <w:p w14:paraId="38354DAF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磷酸二氢钾（KH</w:t>
      </w:r>
      <w:r>
        <w:rPr>
          <w:rFonts w:ascii="Times New Roman" w:eastAsia="宋体"/>
          <w:szCs w:val="20"/>
          <w:vertAlign w:val="subscript"/>
        </w:rPr>
        <w:t>2</w:t>
      </w:r>
      <w:r>
        <w:rPr>
          <w:rFonts w:ascii="Times New Roman" w:eastAsia="宋体"/>
          <w:szCs w:val="20"/>
        </w:rPr>
        <w:t>PO</w:t>
      </w:r>
      <w:r>
        <w:rPr>
          <w:rFonts w:ascii="Times New Roman" w:eastAsia="宋体"/>
          <w:szCs w:val="20"/>
          <w:vertAlign w:val="subscript"/>
        </w:rPr>
        <w:t>4</w:t>
      </w:r>
      <w:r>
        <w:rPr>
          <w:rFonts w:ascii="Times New Roman" w:eastAsia="宋体"/>
          <w:szCs w:val="20"/>
        </w:rPr>
        <w:t>）。</w:t>
      </w:r>
    </w:p>
    <w:p w14:paraId="1136DF16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0" w:firstLine="0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pH8.0缓冲溶液：分别称取11.9 g无水磷酸氢二钾及3.2 g磷酸二氢钾，溶解于1000 mL水中，混匀。</w:t>
      </w:r>
    </w:p>
    <w:p w14:paraId="123702C9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参考物质</w:t>
      </w:r>
    </w:p>
    <w:p w14:paraId="781B8CFA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同3.2。</w:t>
      </w:r>
    </w:p>
    <w:p w14:paraId="40E65362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标准溶液的配制</w:t>
      </w:r>
    </w:p>
    <w:p w14:paraId="14B3F927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同3.3。</w:t>
      </w:r>
    </w:p>
    <w:p w14:paraId="4BD28071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固化有胆碱酯酶和靛酚乙酸酯试剂的纸片（检测卡）。</w:t>
      </w:r>
    </w:p>
    <w:p w14:paraId="017904EB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仪器和设备</w:t>
      </w:r>
    </w:p>
    <w:p w14:paraId="40294BFE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恒温水浴锅。</w:t>
      </w:r>
    </w:p>
    <w:p w14:paraId="78D60AB3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天平：感量为 0.1 g。</w:t>
      </w:r>
    </w:p>
    <w:p w14:paraId="7F9DECD4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 xml:space="preserve">环境条件：温度15 </w:t>
      </w:r>
      <w:r>
        <w:rPr>
          <w:rFonts w:hint="eastAsia" w:ascii="Times New Roman"/>
        </w:rPr>
        <w:t>℃</w:t>
      </w:r>
      <w:r>
        <w:rPr>
          <w:rFonts w:ascii="Times New Roman"/>
        </w:rPr>
        <w:t xml:space="preserve">～35 </w:t>
      </w:r>
      <w:r>
        <w:rPr>
          <w:rFonts w:hint="eastAsia" w:ascii="Times New Roman"/>
        </w:rPr>
        <w:t>℃</w:t>
      </w:r>
      <w:r>
        <w:rPr>
          <w:rFonts w:ascii="Times New Roman"/>
        </w:rPr>
        <w:t>，湿度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80%。</w:t>
      </w:r>
    </w:p>
    <w:p w14:paraId="0BAA1855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分析步骤</w:t>
      </w:r>
    </w:p>
    <w:p w14:paraId="0B9BA338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试样的提取</w:t>
      </w:r>
    </w:p>
    <w:p w14:paraId="0A931871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整株提取法</w:t>
      </w:r>
    </w:p>
    <w:p w14:paraId="78E20A95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选取韭菜、芹菜有代表性的样品，擦去表面泥土，称取试样3 g（精确至0.1 g）置于表面皿中，加入10</w:t>
      </w:r>
      <w:r>
        <w:rPr>
          <w:rFonts w:eastAsia="MS Mincho"/>
          <w:szCs w:val="20"/>
        </w:rPr>
        <w:t> </w:t>
      </w:r>
      <w:r>
        <w:rPr>
          <w:szCs w:val="20"/>
        </w:rPr>
        <w:t>mL缓冲液（10.1.4），残缺面不得接触缓冲液，轻轻振摇50 次，静置2 min以上。</w:t>
      </w:r>
    </w:p>
    <w:p w14:paraId="57C7FA3B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整体测定法</w:t>
      </w:r>
    </w:p>
    <w:p w14:paraId="0565F5CE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选取油菜、菠菜有代表性的样品，擦去表面泥土，剪成1 cm左右见方碎片，称取3 g（精确至0.1 g）放入小离心管中，加入10 mL缓冲溶液（10.1.4），振摇50 次，静置2 min以上。</w:t>
      </w:r>
    </w:p>
    <w:p w14:paraId="5BF79CBF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测定步骤</w:t>
      </w:r>
    </w:p>
    <w:p w14:paraId="3914B491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 xml:space="preserve">吸取2 滴左右待测液于白色药片反应区域，在37 </w:t>
      </w:r>
      <w:r>
        <w:rPr>
          <w:rFonts w:hint="eastAsia"/>
          <w:szCs w:val="20"/>
        </w:rPr>
        <w:t>℃</w:t>
      </w:r>
      <w:r>
        <w:rPr>
          <w:szCs w:val="20"/>
        </w:rPr>
        <w:t>恒温装置中放置15 min进行预反应，预反应后的药片表面必须保持湿润。</w:t>
      </w:r>
    </w:p>
    <w:p w14:paraId="2100E24C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 xml:space="preserve">将速测卡对折，手捏3 min或置于37 </w:t>
      </w:r>
      <w:r>
        <w:rPr>
          <w:rFonts w:hint="eastAsia"/>
          <w:szCs w:val="20"/>
        </w:rPr>
        <w:t>℃</w:t>
      </w:r>
      <w:r>
        <w:rPr>
          <w:szCs w:val="20"/>
        </w:rPr>
        <w:t>恒温装置3 min，保证红色药片反应区域与白色药片反应区域完全叠合发生反应。</w:t>
      </w:r>
    </w:p>
    <w:p w14:paraId="31D55866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每次测定需有一个缓冲溶液的空白对照。</w:t>
      </w:r>
    </w:p>
    <w:p w14:paraId="2D462AEB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质控试验</w:t>
      </w:r>
    </w:p>
    <w:p w14:paraId="09964002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每次测定应同时进行空白试验和加标质控试验。</w:t>
      </w:r>
    </w:p>
    <w:p w14:paraId="256A1FA6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空白试验</w:t>
      </w:r>
    </w:p>
    <w:p w14:paraId="58932011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称取空白试样，按照 12.1 和 12.2 步骤与样品同法操作。</w:t>
      </w:r>
    </w:p>
    <w:p w14:paraId="7062CEE3">
      <w:pPr>
        <w:pStyle w:val="12"/>
        <w:widowControl w:val="0"/>
        <w:numPr>
          <w:ilvl w:val="2"/>
          <w:numId w:val="1"/>
        </w:numPr>
        <w:spacing w:beforeLines="0" w:afterLines="0" w:line="360" w:lineRule="exact"/>
        <w:ind w:left="283" w:hanging="283" w:hangingChars="135"/>
        <w:rPr>
          <w:rFonts w:ascii="Times New Roman" w:eastAsia="宋体"/>
          <w:szCs w:val="20"/>
        </w:rPr>
      </w:pPr>
      <w:r>
        <w:rPr>
          <w:rFonts w:ascii="Times New Roman" w:eastAsia="宋体"/>
          <w:szCs w:val="20"/>
        </w:rPr>
        <w:t>加标质控试验</w:t>
      </w:r>
    </w:p>
    <w:p w14:paraId="6143CAA0">
      <w:pPr>
        <w:pStyle w:val="16"/>
        <w:numPr>
          <w:ilvl w:val="3"/>
          <w:numId w:val="1"/>
        </w:numPr>
        <w:spacing w:line="360" w:lineRule="exact"/>
        <w:ind w:firstLineChars="0"/>
        <w:rPr>
          <w:szCs w:val="20"/>
        </w:rPr>
      </w:pPr>
      <w:r>
        <w:rPr>
          <w:szCs w:val="20"/>
        </w:rPr>
        <w:t>韭菜、芹菜</w:t>
      </w:r>
    </w:p>
    <w:p w14:paraId="2C64CCE1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取空白试样，擦去表面泥土，称取5份试样各3 g （精确至0.1g）置于表面皿中，分别加入检出限水平的</w:t>
      </w:r>
      <w:r>
        <w:rPr>
          <w:spacing w:val="5"/>
        </w:rPr>
        <w:t>有机磷和氨基甲酸酯类</w:t>
      </w:r>
      <w:r>
        <w:rPr>
          <w:szCs w:val="20"/>
        </w:rPr>
        <w:t>标准中间液 B</w:t>
      </w:r>
      <w:r>
        <w:rPr>
          <w:spacing w:val="5"/>
        </w:rPr>
        <w:t>（1</w:t>
      </w:r>
      <w:r>
        <w:rPr>
          <w:rFonts w:eastAsia="MS Mincho"/>
          <w:spacing w:val="5"/>
        </w:rPr>
        <w:t> </w:t>
      </w:r>
      <w:r>
        <w:rPr>
          <w:szCs w:val="20"/>
        </w:rPr>
        <w:t>μ</w:t>
      </w:r>
      <w:r>
        <w:rPr>
          <w:spacing w:val="5"/>
        </w:rPr>
        <w:t>g/mL）</w:t>
      </w:r>
      <w:r>
        <w:rPr>
          <w:szCs w:val="20"/>
        </w:rPr>
        <w:t>（3.3.4），</w:t>
      </w:r>
      <w:r>
        <w:t>按照</w:t>
      </w:r>
      <w:r>
        <w:rPr>
          <w:szCs w:val="20"/>
        </w:rPr>
        <w:t>12.1和12.2步骤</w:t>
      </w:r>
      <w:r>
        <w:t>与样品同法操作</w:t>
      </w:r>
      <w:r>
        <w:rPr>
          <w:szCs w:val="20"/>
        </w:rPr>
        <w:t>。</w:t>
      </w:r>
    </w:p>
    <w:p w14:paraId="40B67E6D">
      <w:pPr>
        <w:pStyle w:val="16"/>
        <w:numPr>
          <w:ilvl w:val="3"/>
          <w:numId w:val="1"/>
        </w:numPr>
        <w:spacing w:line="360" w:lineRule="exact"/>
        <w:ind w:firstLineChars="0"/>
        <w:rPr>
          <w:szCs w:val="20"/>
        </w:rPr>
      </w:pPr>
      <w:r>
        <w:rPr>
          <w:szCs w:val="20"/>
        </w:rPr>
        <w:t>油菜、菠菜</w:t>
      </w:r>
    </w:p>
    <w:p w14:paraId="24DDC638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选取空白试样，擦去表面泥土，剪成1 cm左右见方碎片，称取5份试样各3 g（精确至0.1 g）放入小离心管中，分别加入检出限水平的</w:t>
      </w:r>
      <w:r>
        <w:rPr>
          <w:spacing w:val="5"/>
        </w:rPr>
        <w:t>有机磷和氨基甲酸酯类</w:t>
      </w:r>
      <w:r>
        <w:rPr>
          <w:szCs w:val="20"/>
        </w:rPr>
        <w:t>标准中间液 B</w:t>
      </w:r>
      <w:r>
        <w:rPr>
          <w:spacing w:val="5"/>
        </w:rPr>
        <w:t>（1</w:t>
      </w:r>
      <w:r>
        <w:rPr>
          <w:rFonts w:eastAsia="MS Mincho"/>
          <w:spacing w:val="5"/>
        </w:rPr>
        <w:t> </w:t>
      </w:r>
      <w:r>
        <w:rPr>
          <w:szCs w:val="20"/>
        </w:rPr>
        <w:t>μ</w:t>
      </w:r>
      <w:r>
        <w:rPr>
          <w:spacing w:val="5"/>
        </w:rPr>
        <w:t>g/mL）</w:t>
      </w:r>
      <w:r>
        <w:rPr>
          <w:szCs w:val="20"/>
        </w:rPr>
        <w:t>（3.3.4），</w:t>
      </w:r>
      <w:r>
        <w:t>按照</w:t>
      </w:r>
      <w:r>
        <w:rPr>
          <w:szCs w:val="20"/>
        </w:rPr>
        <w:t>12.1和12.2步骤</w:t>
      </w:r>
      <w:r>
        <w:t>与样品同法操作</w:t>
      </w:r>
      <w:r>
        <w:rPr>
          <w:szCs w:val="20"/>
        </w:rPr>
        <w:t>。</w:t>
      </w:r>
    </w:p>
    <w:p w14:paraId="0A065B3C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结果判定</w:t>
      </w:r>
    </w:p>
    <w:p w14:paraId="2E635836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白色药片区域不变色或略有浅蓝色为阳性结果；白色药片区域变为天蓝色或与空白对照卡相同，为阴性结果。通过对比空白和样品白色药片区域的颜色变化进行结果判定。目视判定示意图见图1。</w:t>
      </w:r>
    </w:p>
    <w:p w14:paraId="3996D709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无效</w:t>
      </w:r>
    </w:p>
    <w:p w14:paraId="047C07EC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白色药片区域干燥，表明取样量偏少，检测结果无效。</w:t>
      </w:r>
    </w:p>
    <w:p w14:paraId="328EFDBD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阴性</w:t>
      </w:r>
    </w:p>
    <w:p w14:paraId="0BB759C4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样品白色药片区域颜色比空白对照卡颜色颜色相当或为天蓝色，表明样品中有机磷和氨基甲酸酯类农药残留低于方法检测限，判定为阴性。</w:t>
      </w:r>
    </w:p>
    <w:p w14:paraId="2E56A5A5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阳性</w:t>
      </w:r>
    </w:p>
    <w:p w14:paraId="749753B3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样品白色药片区域不变色或略有浅蓝色，表明样品中有机磷和氨基甲酸酯类农残高于检测限，判定为阳性。</w:t>
      </w:r>
    </w:p>
    <w:p w14:paraId="5A0490D0">
      <w:pPr>
        <w:pStyle w:val="11"/>
        <w:widowControl w:val="0"/>
        <w:ind w:firstLine="0" w:firstLineChars="0"/>
        <w:jc w:val="center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3543300" cy="26765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5913DC0">
      <w:pPr>
        <w:tabs>
          <w:tab w:val="center" w:pos="4201"/>
          <w:tab w:val="right" w:leader="dot" w:pos="9298"/>
        </w:tabs>
        <w:autoSpaceDE w:val="0"/>
        <w:autoSpaceDN w:val="0"/>
        <w:spacing w:line="288" w:lineRule="auto"/>
        <w:jc w:val="center"/>
        <w:rPr>
          <w:rFonts w:eastAsia="仿宋_GB2312"/>
          <w:szCs w:val="20"/>
        </w:rPr>
      </w:pPr>
      <w:r>
        <w:rPr>
          <w:rFonts w:eastAsia="仿宋_GB2312"/>
          <w:szCs w:val="20"/>
        </w:rPr>
        <w:t>图1 目视判定示意图</w:t>
      </w:r>
    </w:p>
    <w:p w14:paraId="65F3BDF9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质控试验要求</w:t>
      </w:r>
    </w:p>
    <w:p w14:paraId="41CDAC22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空白试验测定结果应为阴性，加标质控试验测定结果应均为阳性。</w:t>
      </w:r>
    </w:p>
    <w:p w14:paraId="2C9F1EFC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结论</w:t>
      </w:r>
    </w:p>
    <w:p w14:paraId="783050B7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="420" w:firstLineChars="200"/>
        <w:rPr>
          <w:szCs w:val="20"/>
        </w:rPr>
      </w:pPr>
      <w:r>
        <w:rPr>
          <w:szCs w:val="20"/>
        </w:rPr>
        <w:t>当检测结果为阳性时，应采用其他分析方法进行确证，进一步确定农药品种和含量。</w:t>
      </w:r>
    </w:p>
    <w:p w14:paraId="30DE8EBD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性能指标</w:t>
      </w:r>
    </w:p>
    <w:p w14:paraId="42E7BBAC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检测限：敌百虫0.1 mg/kg，丙溴磷0.5 mg/kg，灭多威0.2 mg/kg，克百威0.02 mg/kg，敌敌畏0.2 mg/kg。</w:t>
      </w:r>
    </w:p>
    <w:p w14:paraId="16E35C37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灵敏度：灵敏度应</w:t>
      </w:r>
      <w:r>
        <w:rPr>
          <w:rFonts w:ascii="宋体" w:hAnsi="宋体" w:eastAsia="宋体"/>
        </w:rPr>
        <w:t>≥</w:t>
      </w:r>
      <w:r>
        <w:rPr>
          <w:rFonts w:ascii="Times New Roman"/>
        </w:rPr>
        <w:t>95%</w:t>
      </w:r>
    </w:p>
    <w:p w14:paraId="455D642E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特异性：特异性应</w:t>
      </w:r>
      <w:r>
        <w:rPr>
          <w:rFonts w:ascii="宋体" w:hAnsi="宋体" w:eastAsia="宋体"/>
        </w:rPr>
        <w:t>≥</w:t>
      </w:r>
      <w:r>
        <w:rPr>
          <w:rFonts w:ascii="Times New Roman"/>
        </w:rPr>
        <w:t>85%。</w:t>
      </w:r>
    </w:p>
    <w:p w14:paraId="7E11E4F8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假阴性率：假阴性率应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5%。</w:t>
      </w:r>
    </w:p>
    <w:p w14:paraId="46AC8BCE">
      <w:pPr>
        <w:pStyle w:val="13"/>
        <w:widowControl w:val="0"/>
        <w:numPr>
          <w:ilvl w:val="1"/>
          <w:numId w:val="1"/>
        </w:numPr>
        <w:spacing w:before="156" w:after="156"/>
        <w:jc w:val="both"/>
        <w:outlineLvl w:val="9"/>
        <w:rPr>
          <w:rFonts w:ascii="Times New Roman"/>
        </w:rPr>
      </w:pPr>
      <w:r>
        <w:rPr>
          <w:rFonts w:ascii="Times New Roman"/>
        </w:rPr>
        <w:t>假阳性率：假阳性率应</w:t>
      </w:r>
      <w:r>
        <w:rPr>
          <w:rFonts w:ascii="宋体" w:hAnsi="宋体" w:eastAsia="宋体"/>
        </w:rPr>
        <w:t>≤</w:t>
      </w:r>
      <w:r>
        <w:rPr>
          <w:rFonts w:ascii="Times New Roman"/>
        </w:rPr>
        <w:t>15%。</w:t>
      </w:r>
    </w:p>
    <w:p w14:paraId="55E7C454">
      <w:pPr>
        <w:tabs>
          <w:tab w:val="left" w:pos="2655"/>
        </w:tabs>
        <w:spacing w:line="36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注：性能指标计算方法见附录A。</w:t>
      </w:r>
    </w:p>
    <w:p w14:paraId="79D34C0B">
      <w:pPr>
        <w:pStyle w:val="14"/>
        <w:widowControl w:val="0"/>
        <w:numPr>
          <w:ilvl w:val="0"/>
          <w:numId w:val="1"/>
        </w:numPr>
        <w:spacing w:beforeLines="50" w:afterLines="50"/>
        <w:outlineLvl w:val="9"/>
        <w:rPr>
          <w:rFonts w:hAnsi="黑体"/>
        </w:rPr>
      </w:pPr>
      <w:r>
        <w:rPr>
          <w:rFonts w:hAnsi="黑体"/>
        </w:rPr>
        <w:t>其他</w:t>
      </w:r>
    </w:p>
    <w:p w14:paraId="4968EA74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葱、蒜、萝卜、韭菜、芹菜、香菜、茭白、蘑菇及番茄汁液中，含有对酶有影响的植物次生物质，容易产生假阳性。处理这类样品时，采取整株蔬菜浸提。对一些含叶绿素较高的蔬菜，也可采取整株蔬菜浸提的方法，减少色素的干扰。</w:t>
      </w:r>
    </w:p>
    <w:p w14:paraId="5B6E1F38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本方法所述试剂、试剂盒信息及操作步骤是为给方法使用者提供方便，在使用本方法时不做限定。方法使用者在使用替代试剂、试剂盒或操作步骤前，须对其进行考察，应满足本方法规定的各项性能指标。</w:t>
      </w:r>
    </w:p>
    <w:p w14:paraId="5B0BC1D8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szCs w:val="20"/>
        </w:rPr>
      </w:pPr>
      <w:r>
        <w:rPr>
          <w:szCs w:val="20"/>
        </w:rPr>
        <w:t>本方法参比标准为 NY/T 761—2008 《蔬菜和水果中有机磷、有机氯、拟除虫菊酯和氨基甲酸酯类农药多残留的测定》。</w:t>
      </w:r>
    </w:p>
    <w:p w14:paraId="57C8B636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5704D5A1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20AF9AC0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34B82E40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3BEA8CA4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4BAF93BA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2A31FFF6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544BE733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3F152E81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496B3128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6BCF5345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1C3E5D1C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66C96C8B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79FF6378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26B95676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6F466111">
      <w:pPr>
        <w:tabs>
          <w:tab w:val="center" w:pos="4201"/>
          <w:tab w:val="right" w:leader="dot" w:pos="9298"/>
        </w:tabs>
        <w:autoSpaceDE w:val="0"/>
        <w:autoSpaceDN w:val="0"/>
        <w:ind w:firstLine="420" w:firstLineChars="200"/>
        <w:rPr>
          <w:rFonts w:eastAsia="仿宋_GB2312"/>
          <w:szCs w:val="20"/>
        </w:rPr>
      </w:pPr>
    </w:p>
    <w:p w14:paraId="47633759">
      <w:pPr>
        <w:tabs>
          <w:tab w:val="center" w:pos="4201"/>
          <w:tab w:val="right" w:leader="dot" w:pos="9298"/>
        </w:tabs>
        <w:autoSpaceDE w:val="0"/>
        <w:autoSpaceDN w:val="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附录A</w:t>
      </w:r>
    </w:p>
    <w:p w14:paraId="60C31B66">
      <w:pPr>
        <w:tabs>
          <w:tab w:val="center" w:pos="4201"/>
          <w:tab w:val="right" w:leader="dot" w:pos="9298"/>
        </w:tabs>
        <w:autoSpaceDE w:val="0"/>
        <w:autoSpaceDN w:val="0"/>
        <w:spacing w:line="600" w:lineRule="exact"/>
        <w:jc w:val="center"/>
        <w:rPr>
          <w:rFonts w:ascii="黑体" w:hAnsi="黑体" w:eastAsia="黑体"/>
          <w:sz w:val="32"/>
          <w:szCs w:val="32"/>
        </w:rPr>
      </w:pPr>
    </w:p>
    <w:p w14:paraId="21BEEF8F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快速检测方法性能指标计算表</w:t>
      </w:r>
    </w:p>
    <w:p w14:paraId="2FDD78E8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02D89D8C">
      <w:pPr>
        <w:jc w:val="center"/>
      </w:pPr>
      <w:r>
        <w:t>表 A.1性能指标计算方法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1920"/>
        <w:gridCol w:w="1920"/>
        <w:gridCol w:w="2680"/>
      </w:tblGrid>
      <w:tr w14:paraId="54FE6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8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样品情况</w:t>
            </w:r>
            <w:r>
              <w:rPr>
                <w:color w:val="000000"/>
                <w:vertAlign w:val="superscript"/>
              </w:rPr>
              <w:t>a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A787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检测结果</w:t>
            </w:r>
            <w:r>
              <w:rPr>
                <w:color w:val="000000"/>
                <w:vertAlign w:val="superscript"/>
              </w:rPr>
              <w:t>b</w:t>
            </w:r>
          </w:p>
        </w:tc>
        <w:tc>
          <w:tcPr>
            <w:tcW w:w="2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16A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总数</w:t>
            </w:r>
          </w:p>
        </w:tc>
      </w:tr>
      <w:tr w14:paraId="6F8FB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FB0C">
            <w:pPr>
              <w:jc w:val="left"/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4BE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阳性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881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阴性</w:t>
            </w:r>
          </w:p>
        </w:tc>
        <w:tc>
          <w:tcPr>
            <w:tcW w:w="2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4F124">
            <w:pPr>
              <w:jc w:val="left"/>
              <w:rPr>
                <w:color w:val="000000"/>
              </w:rPr>
            </w:pPr>
          </w:p>
        </w:tc>
      </w:tr>
      <w:tr w14:paraId="6D0B3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D75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阳性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AE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N11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9F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N12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95B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N1.=N11+N12</w:t>
            </w:r>
          </w:p>
        </w:tc>
      </w:tr>
      <w:tr w14:paraId="3D44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51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阴性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33E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N21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17E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N22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6A8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N2.=N21+N22</w:t>
            </w:r>
          </w:p>
        </w:tc>
      </w:tr>
      <w:tr w14:paraId="065AE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1B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总数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613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N.1=N11+N12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C8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N.2=N21+N22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395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N=N1.+N2.或N.1+N.2</w:t>
            </w:r>
          </w:p>
        </w:tc>
      </w:tr>
      <w:tr w14:paraId="5CF47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1F5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显著性差异(х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>)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148F5">
            <w:pPr>
              <w:jc w:val="center"/>
              <w:rPr>
                <w:color w:val="000000"/>
              </w:rPr>
            </w:pPr>
            <w:r>
              <w:rPr/>
              <w:sym w:font="Symbol" w:char="0063"/>
            </w:r>
            <w:r>
              <w:t>2</w:t>
            </w:r>
            <w:r>
              <w:rPr>
                <w:color w:val="000000"/>
              </w:rPr>
              <w:t>=(|N12-N21|-1)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>/(N12+N21), 自由度（df）=1</w:t>
            </w:r>
          </w:p>
        </w:tc>
      </w:tr>
      <w:tr w14:paraId="03E39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3D2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灵敏度(p+，%)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CCE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p+=N11/N1.</w:t>
            </w:r>
          </w:p>
        </w:tc>
      </w:tr>
      <w:tr w14:paraId="2F68D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A59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特异性(p-，%)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824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p-=N22/N2.</w:t>
            </w:r>
          </w:p>
        </w:tc>
      </w:tr>
      <w:tr w14:paraId="15FC4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15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假阴性率(pf-，%)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0B9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pf-=N12/N1.=100-灵敏度</w:t>
            </w:r>
          </w:p>
        </w:tc>
      </w:tr>
      <w:tr w14:paraId="0FA86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B53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假阳性率(pf+，%)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2EB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pf+=N21/N2.=100-特异性</w:t>
            </w:r>
          </w:p>
        </w:tc>
      </w:tr>
      <w:tr w14:paraId="0F6CA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7AA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相对准确度，%</w:t>
            </w:r>
            <w:r>
              <w:rPr>
                <w:color w:val="000000"/>
                <w:vertAlign w:val="superscript"/>
              </w:rPr>
              <w:t>c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0D2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(N11+N22)/(N1.+N2.)</w:t>
            </w:r>
          </w:p>
        </w:tc>
      </w:tr>
      <w:tr w14:paraId="25416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8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308F2">
            <w:pPr>
              <w:tabs>
                <w:tab w:val="left" w:pos="1867"/>
              </w:tabs>
            </w:pPr>
            <w:r>
              <w:t>注：</w:t>
            </w:r>
          </w:p>
          <w:p w14:paraId="1526FF10">
            <w:pPr>
              <w:tabs>
                <w:tab w:val="left" w:pos="1867"/>
              </w:tabs>
            </w:pPr>
            <w:r>
              <w:rPr>
                <w:vertAlign w:val="superscript"/>
              </w:rPr>
              <w:t>a</w:t>
            </w:r>
            <w:r>
              <w:t>由参比方法检验得到的结果或者样品中实际的公议值结果；</w:t>
            </w:r>
          </w:p>
          <w:p w14:paraId="0442315A">
            <w:pPr>
              <w:tabs>
                <w:tab w:val="left" w:pos="1867"/>
              </w:tabs>
            </w:pPr>
            <w:r>
              <w:rPr>
                <w:vertAlign w:val="superscript"/>
              </w:rPr>
              <w:t>b</w:t>
            </w:r>
            <w:r>
              <w:t>由待确认方法检验得到的结果。灵敏度的计算使用确认后的结果。</w:t>
            </w:r>
          </w:p>
          <w:p w14:paraId="6757B36E">
            <w:pPr>
              <w:tabs>
                <w:tab w:val="left" w:pos="1867"/>
              </w:tabs>
            </w:pPr>
            <w:r>
              <w:t>N：任何特定单元的结果数，第一个下标指行，第二个下标指列。例如：N11表示第一行，第一列，N1.表示所有的第一行，N.2表示所有的第二列；N12表示第一行，第二列。</w:t>
            </w:r>
          </w:p>
          <w:p w14:paraId="01F4348F">
            <w:pPr>
              <w:tabs>
                <w:tab w:val="left" w:pos="1867"/>
              </w:tabs>
            </w:pPr>
            <w:r>
              <w:rPr>
                <w:vertAlign w:val="superscript"/>
              </w:rPr>
              <w:t>c</w:t>
            </w:r>
            <w:r>
              <w:t>为方法的检测结果相对准确性的结果，与一致性分析和浓度检测趋势情况综合评价。</w:t>
            </w:r>
          </w:p>
        </w:tc>
      </w:tr>
    </w:tbl>
    <w:p w14:paraId="406B8FCB">
      <w:pPr>
        <w:pStyle w:val="11"/>
        <w:widowControl w:val="0"/>
        <w:rPr>
          <w:rFonts w:ascii="仿宋_GB2312" w:eastAsia="仿宋_GB2312"/>
        </w:rPr>
      </w:pPr>
    </w:p>
    <w:p w14:paraId="5355DE32">
      <w:pPr>
        <w:pStyle w:val="11"/>
        <w:widowControl w:val="0"/>
        <w:spacing w:beforeLines="50" w:afterLines="50"/>
        <w:rPr>
          <w:rFonts w:ascii="Times New Roman"/>
        </w:rPr>
      </w:pPr>
      <w:r>
        <w:rPr>
          <w:rFonts w:ascii="Times New Roman"/>
        </w:rPr>
        <w:t>本方法负责起草单位：山东省食品药品检验研究院。</w:t>
      </w:r>
    </w:p>
    <w:p w14:paraId="74CA034E">
      <w:pPr>
        <w:pStyle w:val="11"/>
        <w:widowControl w:val="0"/>
        <w:spacing w:beforeLines="50" w:afterLines="50"/>
        <w:rPr>
          <w:rFonts w:ascii="Times New Roman"/>
        </w:rPr>
      </w:pPr>
      <w:r>
        <w:rPr>
          <w:rFonts w:ascii="Times New Roman"/>
        </w:rPr>
        <w:t>验证单位：南京工业大学食品与轻工学院、深圳出入境检验检疫局食品检验检疫技术中心。</w:t>
      </w:r>
    </w:p>
    <w:p w14:paraId="4B59AABE">
      <w:pPr>
        <w:pStyle w:val="11"/>
        <w:widowControl w:val="0"/>
        <w:spacing w:beforeLines="50" w:afterLines="50"/>
      </w:pPr>
      <w:r>
        <w:rPr>
          <w:rFonts w:ascii="Times New Roman"/>
        </w:rPr>
        <w:t>主要起草人：胡明燕、胡梅、王骏、熊晓辉、岳振峰</w:t>
      </w:r>
    </w:p>
    <w:sectPr>
      <w:footerReference r:id="rId3" w:type="default"/>
      <w:footerReference r:id="rId4" w:type="even"/>
      <w:pgSz w:w="11906" w:h="16838"/>
      <w:pgMar w:top="1928" w:right="1531" w:bottom="1814" w:left="1531" w:header="851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42036">
    <w:pPr>
      <w:pStyle w:val="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14:paraId="7120A8E3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16B45">
    <w:pPr>
      <w:pStyle w:val="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14:paraId="4E2D45FE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710" w:hanging="284"/>
      </w:pPr>
      <w:rPr>
        <w:rFonts w:hint="default" w:ascii="Times New Roman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Times New Roman" w:hAnsi="Times New Roman" w:eastAsia="宋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4B22"/>
    <w:rsid w:val="00056A1D"/>
    <w:rsid w:val="00844B22"/>
    <w:rsid w:val="00A00CB4"/>
    <w:rsid w:val="00A30B6A"/>
    <w:rsid w:val="00B2057C"/>
    <w:rsid w:val="00C14245"/>
    <w:rsid w:val="00E92602"/>
    <w:rsid w:val="00FB3558"/>
    <w:rsid w:val="3B2A6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6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0"/>
    <w:pPr>
      <w:jc w:val="left"/>
    </w:pPr>
    <w:rPr>
      <w:sz w:val="24"/>
    </w:r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段 Char"/>
    <w:link w:val="11"/>
    <w:uiPriority w:val="0"/>
    <w:rPr>
      <w:rFonts w:ascii="宋体"/>
    </w:rPr>
  </w:style>
  <w:style w:type="paragraph" w:customStyle="1" w:styleId="11">
    <w:name w:val="段"/>
    <w:link w:val="10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二级条标题"/>
    <w:basedOn w:val="13"/>
    <w:next w:val="11"/>
    <w:uiPriority w:val="0"/>
    <w:pPr>
      <w:spacing w:before="50" w:after="50"/>
      <w:outlineLvl w:val="3"/>
    </w:pPr>
  </w:style>
  <w:style w:type="paragraph" w:customStyle="1" w:styleId="13">
    <w:name w:val="一级条标题"/>
    <w:next w:val="1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14">
    <w:name w:val="章标题"/>
    <w:next w:val="11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15">
    <w:name w:val="_Style 8"/>
    <w:basedOn w:val="1"/>
    <w:qFormat/>
    <w:uiPriority w:val="63"/>
    <w:pPr>
      <w:ind w:firstLine="420" w:firstLineChars="200"/>
    </w:pPr>
  </w:style>
  <w:style w:type="paragraph" w:styleId="16">
    <w:name w:val="List Paragraph"/>
    <w:basedOn w:val="1"/>
    <w:qFormat/>
    <w:uiPriority w:val="63"/>
    <w:pPr>
      <w:ind w:firstLine="420" w:firstLineChars="200"/>
    </w:pPr>
  </w:style>
  <w:style w:type="paragraph" w:customStyle="1" w:styleId="17">
    <w:name w:val="附录章标题"/>
    <w:next w:val="11"/>
    <w:qFormat/>
    <w:uiPriority w:val="0"/>
    <w:pPr>
      <w:tabs>
        <w:tab w:val="left" w:pos="360"/>
        <w:tab w:val="left" w:pos="1440"/>
      </w:tabs>
      <w:wordWrap w:val="0"/>
      <w:overflowPunct w:val="0"/>
      <w:autoSpaceDE w:val="0"/>
      <w:spacing w:beforeLines="100" w:afterLines="100"/>
      <w:ind w:left="142" w:hanging="72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szCs w:val="21"/>
      <w:lang w:val="en-US" w:eastAsia="zh-CN" w:bidi="ar-SA"/>
    </w:rPr>
  </w:style>
  <w:style w:type="character" w:customStyle="1" w:styleId="18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CFDA</Company>
  <Pages>8</Pages>
  <Words>3953</Words>
  <Characters>4857</Characters>
  <Lines>37</Lines>
  <Paragraphs>10</Paragraphs>
  <TotalTime>8</TotalTime>
  <ScaleCrop>false</ScaleCrop>
  <LinksUpToDate>false</LinksUpToDate>
  <CharactersWithSpaces>4981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2017-09-21T10:01:00Z</dcterms:created>
  <dc:creator>王兴龙</dc:creator>
  <cp:lastModifiedBy>张亮</cp:lastModifiedBy>
  <dcterms:modified xsi:type="dcterms:W3CDTF">2026-10-20T08:12:46Z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eyJoZGlkIjoiNTBiYjdhZTJiM2RhMDRlNDE5M2M1MGVmZTU5M2FmOWUiLCJ1c2VySWQiOiIyNjg0ODEwMzUifQ==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0325FE66FE9D4E58B80FC856E06AD294_12</vt:lpwstr>
  </property>
</Properties>
</file>